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0FAF" w:rsidRDefault="00940FAF" w:rsidP="006E5DAF">
      <w:pPr>
        <w:spacing w:line="480" w:lineRule="auto"/>
        <w:rPr>
          <w:rFonts w:ascii="Times New Roman" w:hAnsi="Times New Roman" w:cs="Times New Roman"/>
          <w:sz w:val="24"/>
          <w:szCs w:val="24"/>
        </w:rPr>
      </w:pPr>
      <w:bookmarkStart w:id="0" w:name="_GoBack"/>
      <w:bookmarkEnd w:id="0"/>
    </w:p>
    <w:p w:rsidR="00940FAF" w:rsidRDefault="00940FAF" w:rsidP="006E5DAF">
      <w:pPr>
        <w:spacing w:line="480" w:lineRule="auto"/>
        <w:rPr>
          <w:rFonts w:ascii="Times New Roman" w:hAnsi="Times New Roman" w:cs="Times New Roman"/>
          <w:sz w:val="24"/>
          <w:szCs w:val="24"/>
        </w:rPr>
      </w:pPr>
    </w:p>
    <w:p w:rsidR="00940FAF" w:rsidRDefault="00940FAF" w:rsidP="006E5DAF">
      <w:pPr>
        <w:spacing w:line="480" w:lineRule="auto"/>
        <w:rPr>
          <w:rFonts w:ascii="Times New Roman" w:hAnsi="Times New Roman" w:cs="Times New Roman"/>
          <w:sz w:val="24"/>
          <w:szCs w:val="24"/>
        </w:rPr>
      </w:pPr>
    </w:p>
    <w:p w:rsidR="00940FAF" w:rsidRDefault="00940FAF" w:rsidP="006E5DAF">
      <w:pPr>
        <w:spacing w:line="480" w:lineRule="auto"/>
        <w:rPr>
          <w:rFonts w:ascii="Times New Roman" w:hAnsi="Times New Roman" w:cs="Times New Roman"/>
          <w:sz w:val="24"/>
          <w:szCs w:val="24"/>
        </w:rPr>
      </w:pPr>
    </w:p>
    <w:p w:rsidR="00940FAF" w:rsidRDefault="00940FAF" w:rsidP="006E5DAF">
      <w:pPr>
        <w:spacing w:line="480" w:lineRule="auto"/>
        <w:rPr>
          <w:rFonts w:ascii="Times New Roman" w:hAnsi="Times New Roman" w:cs="Times New Roman"/>
          <w:sz w:val="24"/>
          <w:szCs w:val="24"/>
        </w:rPr>
      </w:pPr>
    </w:p>
    <w:p w:rsidR="00940FAF" w:rsidRDefault="00940FAF" w:rsidP="006E5DAF">
      <w:pPr>
        <w:spacing w:line="480" w:lineRule="auto"/>
        <w:rPr>
          <w:rFonts w:ascii="Times New Roman" w:hAnsi="Times New Roman" w:cs="Times New Roman"/>
          <w:sz w:val="24"/>
          <w:szCs w:val="24"/>
        </w:rPr>
      </w:pPr>
    </w:p>
    <w:p w:rsidR="00940FAF" w:rsidRDefault="00940FAF" w:rsidP="00940FAF">
      <w:pPr>
        <w:spacing w:line="480" w:lineRule="auto"/>
        <w:jc w:val="center"/>
        <w:rPr>
          <w:rFonts w:ascii="Times New Roman" w:hAnsi="Times New Roman" w:cs="Times New Roman"/>
          <w:sz w:val="24"/>
          <w:szCs w:val="24"/>
        </w:rPr>
      </w:pPr>
    </w:p>
    <w:p w:rsidR="000005BB" w:rsidRDefault="00940FAF" w:rsidP="00940FAF">
      <w:pPr>
        <w:spacing w:line="480" w:lineRule="auto"/>
        <w:jc w:val="center"/>
        <w:rPr>
          <w:rFonts w:ascii="Times New Roman" w:hAnsi="Times New Roman" w:cs="Times New Roman"/>
          <w:sz w:val="24"/>
          <w:szCs w:val="24"/>
        </w:rPr>
      </w:pPr>
      <w:r>
        <w:rPr>
          <w:rFonts w:ascii="Times New Roman" w:hAnsi="Times New Roman" w:cs="Times New Roman"/>
          <w:sz w:val="24"/>
          <w:szCs w:val="24"/>
        </w:rPr>
        <w:t>CITY OF HOUSTON v. CARLSON</w:t>
      </w:r>
    </w:p>
    <w:p w:rsidR="00940FAF" w:rsidRDefault="00940FAF" w:rsidP="00940FAF">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940FAF" w:rsidRDefault="00940FAF" w:rsidP="00940FAF">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940FAF" w:rsidRDefault="00940FAF" w:rsidP="00940FAF">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940FAF" w:rsidRPr="006E5DAF" w:rsidRDefault="00940FAF" w:rsidP="00940FA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40FAF" w:rsidRDefault="00940FAF" w:rsidP="00940FAF">
      <w:pPr>
        <w:spacing w:line="480" w:lineRule="auto"/>
        <w:jc w:val="center"/>
        <w:rPr>
          <w:rFonts w:ascii="Times New Roman" w:hAnsi="Times New Roman" w:cs="Times New Roman"/>
          <w:sz w:val="24"/>
          <w:szCs w:val="24"/>
        </w:rPr>
      </w:pPr>
    </w:p>
    <w:p w:rsidR="00940FAF" w:rsidRDefault="00940FAF" w:rsidP="006E5DAF">
      <w:pPr>
        <w:spacing w:line="480" w:lineRule="auto"/>
        <w:rPr>
          <w:rFonts w:ascii="Times New Roman" w:hAnsi="Times New Roman" w:cs="Times New Roman"/>
          <w:sz w:val="24"/>
          <w:szCs w:val="24"/>
        </w:rPr>
      </w:pPr>
    </w:p>
    <w:p w:rsidR="00940FAF" w:rsidRDefault="00940FAF" w:rsidP="006E5DAF">
      <w:pPr>
        <w:spacing w:line="480" w:lineRule="auto"/>
        <w:rPr>
          <w:rFonts w:ascii="Times New Roman" w:hAnsi="Times New Roman" w:cs="Times New Roman"/>
          <w:sz w:val="24"/>
          <w:szCs w:val="24"/>
        </w:rPr>
      </w:pPr>
    </w:p>
    <w:p w:rsidR="00940FAF" w:rsidRDefault="00940FAF" w:rsidP="006E5DAF">
      <w:pPr>
        <w:spacing w:line="480" w:lineRule="auto"/>
        <w:rPr>
          <w:rFonts w:ascii="Times New Roman" w:hAnsi="Times New Roman" w:cs="Times New Roman"/>
          <w:sz w:val="24"/>
          <w:szCs w:val="24"/>
        </w:rPr>
      </w:pPr>
    </w:p>
    <w:p w:rsidR="00940FAF" w:rsidRDefault="00940FAF" w:rsidP="006E5DAF">
      <w:pPr>
        <w:spacing w:line="480" w:lineRule="auto"/>
        <w:rPr>
          <w:rFonts w:ascii="Times New Roman" w:hAnsi="Times New Roman" w:cs="Times New Roman"/>
          <w:sz w:val="24"/>
          <w:szCs w:val="24"/>
        </w:rPr>
      </w:pPr>
    </w:p>
    <w:p w:rsidR="00940FAF" w:rsidRDefault="00940FAF" w:rsidP="006E5DAF">
      <w:pPr>
        <w:spacing w:line="480" w:lineRule="auto"/>
        <w:rPr>
          <w:rFonts w:ascii="Times New Roman" w:hAnsi="Times New Roman" w:cs="Times New Roman"/>
          <w:sz w:val="24"/>
          <w:szCs w:val="24"/>
        </w:rPr>
      </w:pPr>
    </w:p>
    <w:p w:rsidR="00CC0C4D" w:rsidRPr="00CC0C4D" w:rsidRDefault="00CC0C4D" w:rsidP="00CC0C4D">
      <w:pPr>
        <w:spacing w:line="480" w:lineRule="auto"/>
        <w:rPr>
          <w:rFonts w:ascii="Times New Roman" w:hAnsi="Times New Roman" w:cs="Times New Roman"/>
          <w:sz w:val="24"/>
          <w:szCs w:val="24"/>
        </w:rPr>
      </w:pPr>
      <w:r w:rsidRPr="00CC0C4D">
        <w:rPr>
          <w:rFonts w:ascii="Times New Roman" w:hAnsi="Times New Roman" w:cs="Times New Roman"/>
          <w:sz w:val="24"/>
          <w:szCs w:val="24"/>
        </w:rPr>
        <w:lastRenderedPageBreak/>
        <w:t xml:space="preserve">In this case, a group of former condominium owners brought a condemnation action against the City of Houston, alleging their property was grabbed when the city ordered residents to vacate the condominium complex. The decision by the city to leave residents from the park memorial had been arrived at after a series of investigations had found structural, electrical, and plumbing problems in the structure. Of central concern was evidence gathered showing that an underground parking facility might fail hence posing security risks to the residents. Therefore, the City gave notice to the residents posting the following: the owners of the condominium had not applied for an occupancy certificate and had not made repairs to the houses. </w:t>
      </w:r>
    </w:p>
    <w:p w:rsidR="00CC0C4D" w:rsidRPr="00CC0C4D" w:rsidRDefault="00CC0C4D" w:rsidP="00CC0C4D">
      <w:pPr>
        <w:spacing w:line="480" w:lineRule="auto"/>
        <w:rPr>
          <w:rFonts w:ascii="Times New Roman" w:hAnsi="Times New Roman" w:cs="Times New Roman"/>
          <w:sz w:val="24"/>
          <w:szCs w:val="24"/>
        </w:rPr>
      </w:pPr>
      <w:r w:rsidRPr="00CC0C4D">
        <w:rPr>
          <w:rFonts w:ascii="Times New Roman" w:hAnsi="Times New Roman" w:cs="Times New Roman"/>
          <w:sz w:val="24"/>
          <w:szCs w:val="24"/>
        </w:rPr>
        <w:t>However, several months without compliance from the dwellers, the city opted not to issue a citation. Instead, it gave orders to the dwellers to vacate the condominium within thirty days. This was according to the law in which the rights of citizens residing in risky buildings are protected. Houston, TEX, BLDG. CODE 104.12 (2008). The code authorizes officials to "order the use discontinued" where a construction creates a serious and immediate threat. The city conducted an administrative hearing after being requested by residents and owners of the structure put under notice. However, the city upheld the order for the dwellers to vacate the condominium. After questions were raised on the legality of the issue, sixteen people part of the owners of the residence, obtained a permanent injunction in March 2011 when a district court observed that the owners were not accorded a fair hearing.</w:t>
      </w:r>
    </w:p>
    <w:p w:rsidR="00CC0C4D" w:rsidRPr="00CC0C4D" w:rsidRDefault="00CC0C4D" w:rsidP="00CC0C4D">
      <w:pPr>
        <w:spacing w:line="480" w:lineRule="auto"/>
        <w:rPr>
          <w:rFonts w:ascii="Times New Roman" w:hAnsi="Times New Roman" w:cs="Times New Roman"/>
          <w:sz w:val="24"/>
          <w:szCs w:val="24"/>
        </w:rPr>
      </w:pPr>
      <w:r w:rsidRPr="00CC0C4D">
        <w:rPr>
          <w:rFonts w:ascii="Times New Roman" w:hAnsi="Times New Roman" w:cs="Times New Roman"/>
          <w:sz w:val="24"/>
          <w:szCs w:val="24"/>
        </w:rPr>
        <w:t xml:space="preserve"> The court reversed the order to vacate, and this was affirmed by the court of appeal. See the City of Houston v. Carlson, 393 S.W.3d 350 (Tex. App-Houston (14th Dist.) 2012, no pet (Hittner, 2014). It holds that the owners had not been accorded a fair hearing under the law and that the city failed to adhere to rules stipulated. Once the court orders for the owners to vacate the building was lifted, the homeowners association sold the complex for redevelopment. The group </w:t>
      </w:r>
      <w:r w:rsidRPr="00CC0C4D">
        <w:rPr>
          <w:rFonts w:ascii="Times New Roman" w:hAnsi="Times New Roman" w:cs="Times New Roman"/>
          <w:sz w:val="24"/>
          <w:szCs w:val="24"/>
        </w:rPr>
        <w:lastRenderedPageBreak/>
        <w:t xml:space="preserve">of owners that filed this case alleged that the property was taken when the residents were forced to vacate. Therefore, they seek the city to compensate them for years of lost use and other unspecified damages. The court hearing the case sustained the city's plea to the jurisdiction, arguing that the owners had not alleged a taking. The court of appeal in Texas reversed this ruling and the city quickly filed a petition for observation in the court. </w:t>
      </w:r>
    </w:p>
    <w:p w:rsidR="00CC0C4D" w:rsidRPr="00CC0C4D" w:rsidRDefault="00CC0C4D" w:rsidP="00CC0C4D">
      <w:pPr>
        <w:spacing w:line="480" w:lineRule="auto"/>
        <w:rPr>
          <w:rFonts w:ascii="Times New Roman" w:hAnsi="Times New Roman" w:cs="Times New Roman"/>
          <w:sz w:val="24"/>
          <w:szCs w:val="24"/>
        </w:rPr>
      </w:pPr>
      <w:r w:rsidRPr="00CC0C4D">
        <w:rPr>
          <w:rFonts w:ascii="Times New Roman" w:hAnsi="Times New Roman" w:cs="Times New Roman"/>
          <w:sz w:val="24"/>
          <w:szCs w:val="24"/>
        </w:rPr>
        <w:t xml:space="preserve">The petition was in support for the owners to be compensated for vacating the condominium. The appeal based on specific issues regarding the law guarding homeowners not only, in Texas, but also the United States at large. A municipal government has the right to immunity from suit unless the protection has been waived. The non-existence of this waiver means that the court has no jurisdiction to make claims against the municipality. It was well settled that the constitution of Texas waives government immunity with respect to claims of inverse condemnation. Nevertheless, making such an application should be based on a viable allegation of taking. If no properly pledge of taking is given, the state, therefore, retains immunity. Under these circumstances, the court needs to sustain a plea appropriately made to the jurisdiction. Thus, the trial court and the court of appeal disagreed on whether respondents had alleged any taking of property (Hittner, 2014). </w:t>
      </w:r>
    </w:p>
    <w:p w:rsidR="00CC0C4D" w:rsidRPr="00CC0C4D" w:rsidRDefault="00CC0C4D" w:rsidP="00CC0C4D">
      <w:pPr>
        <w:spacing w:line="480" w:lineRule="auto"/>
        <w:rPr>
          <w:rFonts w:ascii="Times New Roman" w:hAnsi="Times New Roman" w:cs="Times New Roman"/>
          <w:sz w:val="24"/>
          <w:szCs w:val="24"/>
        </w:rPr>
      </w:pPr>
      <w:r w:rsidRPr="00CC0C4D">
        <w:rPr>
          <w:rFonts w:ascii="Times New Roman" w:hAnsi="Times New Roman" w:cs="Times New Roman"/>
          <w:sz w:val="24"/>
          <w:szCs w:val="24"/>
        </w:rPr>
        <w:t xml:space="preserve">The respondents in their petition claimed that the right to acquire and maintain private property is among the cherished liberties of American citizens. The value of the private property does not only lie in its actual utility, but also personal investments. Moreover, the right to own residential property is sacred. The Bill of Rights shields the citizens from uncompensated dispossession, unlawful search, and unwanted guests in their homes. U.S. CONST. Amends, III, IV, and V. This implies that the government plays a fundamental role in preserving the rights to own property. Besides, the government is mandated to ensure the safety and security of its citizens. </w:t>
      </w:r>
      <w:r w:rsidRPr="00CC0C4D">
        <w:rPr>
          <w:rFonts w:ascii="Times New Roman" w:hAnsi="Times New Roman" w:cs="Times New Roman"/>
          <w:sz w:val="24"/>
          <w:szCs w:val="24"/>
        </w:rPr>
        <w:lastRenderedPageBreak/>
        <w:t xml:space="preserve">To satisfy this responsibility, the government imposes restrictions on ownership and use of private property.  It also implies that, when such regulations reach an absolute magnitude, the government is obligated to offer compensation to the affected people to sustain the act. </w:t>
      </w:r>
    </w:p>
    <w:p w:rsidR="00CC0C4D" w:rsidRPr="00CC0C4D" w:rsidRDefault="00CC0C4D" w:rsidP="00CC0C4D">
      <w:pPr>
        <w:spacing w:line="480" w:lineRule="auto"/>
        <w:rPr>
          <w:rFonts w:ascii="Times New Roman" w:hAnsi="Times New Roman" w:cs="Times New Roman"/>
          <w:sz w:val="24"/>
          <w:szCs w:val="24"/>
        </w:rPr>
      </w:pPr>
      <w:r w:rsidRPr="00CC0C4D">
        <w:rPr>
          <w:rFonts w:ascii="Times New Roman" w:hAnsi="Times New Roman" w:cs="Times New Roman"/>
          <w:sz w:val="24"/>
          <w:szCs w:val="24"/>
        </w:rPr>
        <w:t xml:space="preserve">However, the jury argued against the claims of the respondent regarding regulatory taking. The jury explained that their allegations did not support their claim. The jury argued that a regulatory taking is a condition of use so onerous that its effect is tantamount to a direct user. Yet the respondents did not contest any of restriction on the use of property in Houston city. The respondents did not argue that it is unreasonable for homeowners with multi-family residential facilities to have certificates of occupancy. They did not challenge the city's faults in plumbing, electrical, or structural standards. Nor did they argue that these faults in the city's engineering process would be burdensome to the use of their property (Feder, 1991). Generally, the respondent's petition never referred to the standards laid down by the city's building code. Instead, the respondent just objected only to the penalty imposed and the way the city enforced its rule regarding the ownership of the property. For example, the respondents argued that the city did not specify the alleged violations and the punishment was too heavy on them. They further claimed that the procedure of the city leading to their evacuation from the buildings was not constitutional. However, the court argued that even if these were serious allegations, they did not reflect any restrictions on property use. Therefore, the jury's verdict was that the city retains its immunity from suit. </w:t>
      </w:r>
    </w:p>
    <w:p w:rsidR="00CC0C4D" w:rsidRPr="00CC0C4D" w:rsidRDefault="00CC0C4D" w:rsidP="00CC0C4D">
      <w:pPr>
        <w:spacing w:line="480" w:lineRule="auto"/>
        <w:rPr>
          <w:rFonts w:ascii="Times New Roman" w:hAnsi="Times New Roman" w:cs="Times New Roman"/>
          <w:sz w:val="24"/>
          <w:szCs w:val="24"/>
        </w:rPr>
      </w:pPr>
      <w:r w:rsidRPr="00CC0C4D">
        <w:rPr>
          <w:rFonts w:ascii="Times New Roman" w:hAnsi="Times New Roman" w:cs="Times New Roman"/>
          <w:sz w:val="24"/>
          <w:szCs w:val="24"/>
        </w:rPr>
        <w:t xml:space="preserve">I support the verdict provided on this case. The city had stipulated laws regarding the ownership of private property and its protection of dwellers in residence. Even though the constitution protects people on private property ownership, property owners sometimes take advantage of this privilege to manipulate people hence putting their rights at risk. Residential homeowners need to </w:t>
      </w:r>
      <w:r w:rsidRPr="00CC0C4D">
        <w:rPr>
          <w:rFonts w:ascii="Times New Roman" w:hAnsi="Times New Roman" w:cs="Times New Roman"/>
          <w:sz w:val="24"/>
          <w:szCs w:val="24"/>
        </w:rPr>
        <w:lastRenderedPageBreak/>
        <w:t xml:space="preserve">provide safe buildings to give dwellers the right environment for a stay. Therefore, making such a verdict upholds the need for protecting residential home dwellers from uncertain risks such as poor plumbing, electrical faults, and poor sewerage systems. </w:t>
      </w:r>
    </w:p>
    <w:p w:rsidR="00CC0C4D" w:rsidRPr="00CC0C4D" w:rsidRDefault="00CC0C4D" w:rsidP="00CC0C4D">
      <w:pPr>
        <w:spacing w:line="480" w:lineRule="auto"/>
        <w:rPr>
          <w:rFonts w:ascii="Times New Roman" w:hAnsi="Times New Roman" w:cs="Times New Roman"/>
          <w:sz w:val="24"/>
          <w:szCs w:val="24"/>
        </w:rPr>
      </w:pPr>
    </w:p>
    <w:p w:rsidR="00CC0C4D" w:rsidRPr="00CC0C4D" w:rsidRDefault="00CC0C4D" w:rsidP="00CC0C4D">
      <w:pPr>
        <w:spacing w:line="480" w:lineRule="auto"/>
        <w:rPr>
          <w:rFonts w:ascii="Times New Roman" w:hAnsi="Times New Roman" w:cs="Times New Roman"/>
          <w:sz w:val="24"/>
          <w:szCs w:val="24"/>
        </w:rPr>
      </w:pPr>
    </w:p>
    <w:p w:rsidR="00CC0C4D" w:rsidRPr="00CC0C4D" w:rsidRDefault="00CC0C4D" w:rsidP="00CC0C4D">
      <w:pPr>
        <w:spacing w:line="480" w:lineRule="auto"/>
        <w:rPr>
          <w:rFonts w:ascii="Times New Roman" w:hAnsi="Times New Roman" w:cs="Times New Roman"/>
          <w:sz w:val="24"/>
          <w:szCs w:val="24"/>
        </w:rPr>
      </w:pPr>
    </w:p>
    <w:p w:rsidR="00CC0C4D" w:rsidRPr="00CC0C4D" w:rsidRDefault="00CC0C4D" w:rsidP="00CC0C4D">
      <w:pPr>
        <w:spacing w:line="480" w:lineRule="auto"/>
        <w:rPr>
          <w:rFonts w:ascii="Times New Roman" w:hAnsi="Times New Roman" w:cs="Times New Roman"/>
          <w:sz w:val="24"/>
          <w:szCs w:val="24"/>
        </w:rPr>
      </w:pPr>
    </w:p>
    <w:p w:rsidR="00CC0C4D" w:rsidRPr="00CC0C4D" w:rsidRDefault="00CC0C4D" w:rsidP="00CC0C4D">
      <w:pPr>
        <w:spacing w:line="480" w:lineRule="auto"/>
        <w:rPr>
          <w:rFonts w:ascii="Times New Roman" w:hAnsi="Times New Roman" w:cs="Times New Roman"/>
          <w:sz w:val="24"/>
          <w:szCs w:val="24"/>
        </w:rPr>
      </w:pPr>
    </w:p>
    <w:p w:rsidR="00CC0C4D" w:rsidRPr="00CC0C4D" w:rsidRDefault="00CC0C4D" w:rsidP="00CC0C4D">
      <w:pPr>
        <w:spacing w:line="480" w:lineRule="auto"/>
        <w:rPr>
          <w:rFonts w:ascii="Times New Roman" w:hAnsi="Times New Roman" w:cs="Times New Roman"/>
          <w:sz w:val="24"/>
          <w:szCs w:val="24"/>
        </w:rPr>
      </w:pPr>
    </w:p>
    <w:p w:rsidR="00CC0C4D" w:rsidRPr="00CC0C4D" w:rsidRDefault="00CC0C4D" w:rsidP="00CC0C4D">
      <w:pPr>
        <w:spacing w:line="480" w:lineRule="auto"/>
        <w:rPr>
          <w:rFonts w:ascii="Times New Roman" w:hAnsi="Times New Roman" w:cs="Times New Roman"/>
          <w:sz w:val="24"/>
          <w:szCs w:val="24"/>
        </w:rPr>
      </w:pPr>
    </w:p>
    <w:p w:rsidR="00CC0C4D" w:rsidRPr="00CC0C4D" w:rsidRDefault="00CC0C4D" w:rsidP="00CC0C4D">
      <w:pPr>
        <w:spacing w:line="480" w:lineRule="auto"/>
        <w:rPr>
          <w:rFonts w:ascii="Times New Roman" w:hAnsi="Times New Roman" w:cs="Times New Roman"/>
          <w:sz w:val="24"/>
          <w:szCs w:val="24"/>
        </w:rPr>
      </w:pPr>
    </w:p>
    <w:p w:rsidR="00CC0C4D" w:rsidRPr="00CC0C4D" w:rsidRDefault="00CC0C4D" w:rsidP="00CC0C4D">
      <w:pPr>
        <w:spacing w:line="480" w:lineRule="auto"/>
        <w:rPr>
          <w:rFonts w:ascii="Times New Roman" w:hAnsi="Times New Roman" w:cs="Times New Roman"/>
          <w:sz w:val="24"/>
          <w:szCs w:val="24"/>
        </w:rPr>
      </w:pPr>
    </w:p>
    <w:p w:rsidR="00CC0C4D" w:rsidRPr="00CC0C4D" w:rsidRDefault="00CC0C4D" w:rsidP="00CC0C4D">
      <w:pPr>
        <w:spacing w:line="480" w:lineRule="auto"/>
        <w:rPr>
          <w:rFonts w:ascii="Times New Roman" w:hAnsi="Times New Roman" w:cs="Times New Roman"/>
          <w:sz w:val="24"/>
          <w:szCs w:val="24"/>
        </w:rPr>
      </w:pPr>
    </w:p>
    <w:p w:rsidR="00CC0C4D" w:rsidRPr="00CC0C4D" w:rsidRDefault="00CC0C4D" w:rsidP="00CC0C4D">
      <w:pPr>
        <w:spacing w:line="480" w:lineRule="auto"/>
        <w:rPr>
          <w:rFonts w:ascii="Times New Roman" w:hAnsi="Times New Roman" w:cs="Times New Roman"/>
          <w:sz w:val="24"/>
          <w:szCs w:val="24"/>
        </w:rPr>
      </w:pPr>
    </w:p>
    <w:p w:rsidR="00CC0C4D" w:rsidRPr="00CC0C4D" w:rsidRDefault="00CC0C4D" w:rsidP="00CC0C4D">
      <w:pPr>
        <w:spacing w:line="480" w:lineRule="auto"/>
        <w:rPr>
          <w:rFonts w:ascii="Times New Roman" w:hAnsi="Times New Roman" w:cs="Times New Roman"/>
          <w:sz w:val="24"/>
          <w:szCs w:val="24"/>
        </w:rPr>
      </w:pPr>
    </w:p>
    <w:p w:rsidR="00CC0C4D" w:rsidRPr="00CC0C4D" w:rsidRDefault="00CC0C4D" w:rsidP="00CC0C4D">
      <w:pPr>
        <w:spacing w:line="480" w:lineRule="auto"/>
        <w:rPr>
          <w:rFonts w:ascii="Times New Roman" w:hAnsi="Times New Roman" w:cs="Times New Roman"/>
          <w:sz w:val="24"/>
          <w:szCs w:val="24"/>
        </w:rPr>
      </w:pPr>
    </w:p>
    <w:p w:rsidR="00940FAF" w:rsidRDefault="00940FAF" w:rsidP="006E5DAF">
      <w:pPr>
        <w:spacing w:line="480" w:lineRule="auto"/>
        <w:rPr>
          <w:rFonts w:ascii="Times New Roman" w:hAnsi="Times New Roman" w:cs="Times New Roman"/>
          <w:sz w:val="24"/>
          <w:szCs w:val="24"/>
        </w:rPr>
      </w:pPr>
    </w:p>
    <w:p w:rsidR="00940FAF" w:rsidRDefault="00940FAF" w:rsidP="006E5DAF">
      <w:pPr>
        <w:spacing w:line="480" w:lineRule="auto"/>
        <w:rPr>
          <w:rFonts w:ascii="Times New Roman" w:hAnsi="Times New Roman" w:cs="Times New Roman"/>
          <w:sz w:val="24"/>
          <w:szCs w:val="24"/>
        </w:rPr>
      </w:pPr>
    </w:p>
    <w:p w:rsidR="00940FAF" w:rsidRDefault="00940FAF" w:rsidP="006E5DAF">
      <w:pPr>
        <w:spacing w:line="480" w:lineRule="auto"/>
        <w:rPr>
          <w:rFonts w:ascii="Times New Roman" w:hAnsi="Times New Roman" w:cs="Times New Roman"/>
          <w:sz w:val="24"/>
          <w:szCs w:val="24"/>
        </w:rPr>
      </w:pPr>
    </w:p>
    <w:p w:rsidR="00AA312A" w:rsidRDefault="00940FAF" w:rsidP="006E5DA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w:t>
      </w:r>
    </w:p>
    <w:p w:rsidR="00AA312A" w:rsidRPr="00AA312A" w:rsidRDefault="00AA312A" w:rsidP="00AA312A">
      <w:pPr>
        <w:spacing w:line="240" w:lineRule="auto"/>
        <w:ind w:left="720" w:hanging="720"/>
        <w:rPr>
          <w:rFonts w:ascii="Times New Roman" w:hAnsi="Times New Roman" w:cs="Times New Roman"/>
          <w:sz w:val="24"/>
          <w:szCs w:val="24"/>
        </w:rPr>
      </w:pPr>
      <w:r w:rsidRPr="00EC3C2B">
        <w:rPr>
          <w:rFonts w:ascii="Times New Roman" w:hAnsi="Times New Roman" w:cs="Times New Roman"/>
          <w:color w:val="222222"/>
          <w:sz w:val="24"/>
          <w:szCs w:val="24"/>
          <w:shd w:val="clear" w:color="auto" w:fill="FFFFFF"/>
        </w:rPr>
        <w:t>Feder, G., &amp; Feeny, D. (1991). Land tenure and property rights: Theory and implications for development policy. </w:t>
      </w:r>
      <w:r w:rsidRPr="00EC3C2B">
        <w:rPr>
          <w:rFonts w:ascii="Times New Roman" w:hAnsi="Times New Roman" w:cs="Times New Roman"/>
          <w:i/>
          <w:iCs/>
          <w:color w:val="222222"/>
          <w:sz w:val="24"/>
          <w:szCs w:val="24"/>
          <w:shd w:val="clear" w:color="auto" w:fill="FFFFFF"/>
        </w:rPr>
        <w:t>The World Bank Economic Review</w:t>
      </w:r>
      <w:r w:rsidRPr="00EC3C2B">
        <w:rPr>
          <w:rFonts w:ascii="Times New Roman" w:hAnsi="Times New Roman" w:cs="Times New Roman"/>
          <w:color w:val="222222"/>
          <w:sz w:val="24"/>
          <w:szCs w:val="24"/>
          <w:shd w:val="clear" w:color="auto" w:fill="FFFFFF"/>
        </w:rPr>
        <w:t>, </w:t>
      </w:r>
      <w:r w:rsidRPr="00EC3C2B">
        <w:rPr>
          <w:rFonts w:ascii="Times New Roman" w:hAnsi="Times New Roman" w:cs="Times New Roman"/>
          <w:i/>
          <w:iCs/>
          <w:color w:val="222222"/>
          <w:sz w:val="24"/>
          <w:szCs w:val="24"/>
          <w:shd w:val="clear" w:color="auto" w:fill="FFFFFF"/>
        </w:rPr>
        <w:t>5</w:t>
      </w:r>
      <w:r w:rsidRPr="00EC3C2B">
        <w:rPr>
          <w:rFonts w:ascii="Times New Roman" w:hAnsi="Times New Roman" w:cs="Times New Roman"/>
          <w:color w:val="222222"/>
          <w:sz w:val="24"/>
          <w:szCs w:val="24"/>
          <w:shd w:val="clear" w:color="auto" w:fill="FFFFFF"/>
        </w:rPr>
        <w:t>(1), 135-153.</w:t>
      </w:r>
    </w:p>
    <w:p w:rsidR="00AA312A" w:rsidRDefault="00AA312A" w:rsidP="00AA312A">
      <w:pPr>
        <w:spacing w:line="240" w:lineRule="auto"/>
        <w:ind w:left="720" w:hanging="720"/>
        <w:rPr>
          <w:rFonts w:ascii="Times New Roman" w:hAnsi="Times New Roman" w:cs="Times New Roman"/>
          <w:color w:val="222222"/>
          <w:sz w:val="24"/>
          <w:szCs w:val="24"/>
          <w:shd w:val="clear" w:color="auto" w:fill="FFFFFF"/>
        </w:rPr>
      </w:pPr>
      <w:r w:rsidRPr="004D29D4">
        <w:rPr>
          <w:rFonts w:ascii="Times New Roman" w:hAnsi="Times New Roman" w:cs="Times New Roman"/>
          <w:color w:val="222222"/>
          <w:sz w:val="24"/>
          <w:szCs w:val="24"/>
          <w:shd w:val="clear" w:color="auto" w:fill="FFFFFF"/>
        </w:rPr>
        <w:t>Hittner, D., &amp; Liberato, L. (2014). Summary Judgments in Texas: State and Federal Practice. </w:t>
      </w:r>
      <w:r w:rsidRPr="004D29D4">
        <w:rPr>
          <w:rFonts w:ascii="Times New Roman" w:hAnsi="Times New Roman" w:cs="Times New Roman"/>
          <w:i/>
          <w:iCs/>
          <w:color w:val="222222"/>
          <w:sz w:val="24"/>
          <w:szCs w:val="24"/>
          <w:shd w:val="clear" w:color="auto" w:fill="FFFFFF"/>
        </w:rPr>
        <w:t>Hous. L. Rev.</w:t>
      </w:r>
      <w:r w:rsidRPr="004D29D4">
        <w:rPr>
          <w:rFonts w:ascii="Times New Roman" w:hAnsi="Times New Roman" w:cs="Times New Roman"/>
          <w:color w:val="222222"/>
          <w:sz w:val="24"/>
          <w:szCs w:val="24"/>
          <w:shd w:val="clear" w:color="auto" w:fill="FFFFFF"/>
        </w:rPr>
        <w:t>, </w:t>
      </w:r>
      <w:r w:rsidRPr="004D29D4">
        <w:rPr>
          <w:rFonts w:ascii="Times New Roman" w:hAnsi="Times New Roman" w:cs="Times New Roman"/>
          <w:i/>
          <w:iCs/>
          <w:color w:val="222222"/>
          <w:sz w:val="24"/>
          <w:szCs w:val="24"/>
          <w:shd w:val="clear" w:color="auto" w:fill="FFFFFF"/>
        </w:rPr>
        <w:t>52</w:t>
      </w:r>
      <w:r w:rsidRPr="004D29D4">
        <w:rPr>
          <w:rFonts w:ascii="Times New Roman" w:hAnsi="Times New Roman" w:cs="Times New Roman"/>
          <w:color w:val="222222"/>
          <w:sz w:val="24"/>
          <w:szCs w:val="24"/>
          <w:shd w:val="clear" w:color="auto" w:fill="FFFFFF"/>
        </w:rPr>
        <w:t>, 773.</w:t>
      </w:r>
    </w:p>
    <w:p w:rsidR="00AA312A" w:rsidRDefault="00197140" w:rsidP="00AA312A">
      <w:pPr>
        <w:spacing w:line="240" w:lineRule="auto"/>
        <w:ind w:left="720" w:hanging="720"/>
        <w:rPr>
          <w:rFonts w:ascii="Times New Roman" w:hAnsi="Times New Roman" w:cs="Times New Roman"/>
          <w:sz w:val="24"/>
          <w:szCs w:val="24"/>
        </w:rPr>
      </w:pPr>
      <w:hyperlink r:id="rId6" w:history="1">
        <w:r w:rsidR="00AA312A" w:rsidRPr="0040652E">
          <w:rPr>
            <w:rStyle w:val="Hyperlink"/>
            <w:rFonts w:ascii="Times New Roman" w:hAnsi="Times New Roman" w:cs="Times New Roman"/>
            <w:sz w:val="24"/>
            <w:szCs w:val="24"/>
          </w:rPr>
          <w:t>https://scholar.google.com/scholar_case?case=5442573158394732998&amp;hl=en&amp;as_sdt=6&amp;as_vis=1&amp;oi=scholarr</w:t>
        </w:r>
      </w:hyperlink>
    </w:p>
    <w:sectPr w:rsidR="00AA312A" w:rsidSect="00940F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7140" w:rsidRDefault="00197140" w:rsidP="00940FAF">
      <w:pPr>
        <w:spacing w:after="0" w:line="240" w:lineRule="auto"/>
      </w:pPr>
      <w:r>
        <w:separator/>
      </w:r>
    </w:p>
  </w:endnote>
  <w:endnote w:type="continuationSeparator" w:id="0">
    <w:p w:rsidR="00197140" w:rsidRDefault="00197140" w:rsidP="00940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7140" w:rsidRDefault="00197140" w:rsidP="00940FAF">
      <w:pPr>
        <w:spacing w:after="0" w:line="240" w:lineRule="auto"/>
      </w:pPr>
      <w:r>
        <w:separator/>
      </w:r>
    </w:p>
  </w:footnote>
  <w:footnote w:type="continuationSeparator" w:id="0">
    <w:p w:rsidR="00197140" w:rsidRDefault="00197140" w:rsidP="00940F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61284973"/>
      <w:docPartObj>
        <w:docPartGallery w:val="Page Numbers (Top of Page)"/>
        <w:docPartUnique/>
      </w:docPartObj>
    </w:sdtPr>
    <w:sdtEndPr>
      <w:rPr>
        <w:noProof/>
      </w:rPr>
    </w:sdtEndPr>
    <w:sdtContent>
      <w:p w:rsidR="00940FAF" w:rsidRPr="00940FAF" w:rsidRDefault="00940FAF">
        <w:pPr>
          <w:pStyle w:val="Header"/>
          <w:jc w:val="right"/>
          <w:rPr>
            <w:rFonts w:ascii="Times New Roman" w:hAnsi="Times New Roman" w:cs="Times New Roman"/>
            <w:sz w:val="24"/>
            <w:szCs w:val="24"/>
          </w:rPr>
        </w:pPr>
        <w:r w:rsidRPr="00940FAF">
          <w:rPr>
            <w:rFonts w:ascii="Times New Roman" w:hAnsi="Times New Roman" w:cs="Times New Roman"/>
            <w:sz w:val="24"/>
            <w:szCs w:val="24"/>
          </w:rPr>
          <w:t>COURT CASES</w:t>
        </w:r>
        <w:r>
          <w:rPr>
            <w:rFonts w:ascii="Times New Roman" w:hAnsi="Times New Roman" w:cs="Times New Roman"/>
            <w:sz w:val="24"/>
            <w:szCs w:val="24"/>
          </w:rPr>
          <w:t xml:space="preserve">                                                                                                                             </w:t>
        </w:r>
        <w:r w:rsidRPr="00940FAF">
          <w:rPr>
            <w:rFonts w:ascii="Times New Roman" w:hAnsi="Times New Roman" w:cs="Times New Roman"/>
            <w:sz w:val="24"/>
            <w:szCs w:val="24"/>
          </w:rPr>
          <w:t xml:space="preserve"> </w:t>
        </w:r>
        <w:r w:rsidRPr="00940FAF">
          <w:rPr>
            <w:rFonts w:ascii="Times New Roman" w:hAnsi="Times New Roman" w:cs="Times New Roman"/>
            <w:sz w:val="24"/>
            <w:szCs w:val="24"/>
          </w:rPr>
          <w:fldChar w:fldCharType="begin"/>
        </w:r>
        <w:r w:rsidRPr="00940FAF">
          <w:rPr>
            <w:rFonts w:ascii="Times New Roman" w:hAnsi="Times New Roman" w:cs="Times New Roman"/>
            <w:sz w:val="24"/>
            <w:szCs w:val="24"/>
          </w:rPr>
          <w:instrText xml:space="preserve"> PAGE   \* MERGEFORMAT </w:instrText>
        </w:r>
        <w:r w:rsidRPr="00940FAF">
          <w:rPr>
            <w:rFonts w:ascii="Times New Roman" w:hAnsi="Times New Roman" w:cs="Times New Roman"/>
            <w:sz w:val="24"/>
            <w:szCs w:val="24"/>
          </w:rPr>
          <w:fldChar w:fldCharType="separate"/>
        </w:r>
        <w:r w:rsidR="00E74026">
          <w:rPr>
            <w:rFonts w:ascii="Times New Roman" w:hAnsi="Times New Roman" w:cs="Times New Roman"/>
            <w:noProof/>
            <w:sz w:val="24"/>
            <w:szCs w:val="24"/>
          </w:rPr>
          <w:t>6</w:t>
        </w:r>
        <w:r w:rsidRPr="00940FAF">
          <w:rPr>
            <w:rFonts w:ascii="Times New Roman" w:hAnsi="Times New Roman" w:cs="Times New Roman"/>
            <w:noProof/>
            <w:sz w:val="24"/>
            <w:szCs w:val="24"/>
          </w:rPr>
          <w:fldChar w:fldCharType="end"/>
        </w:r>
      </w:p>
    </w:sdtContent>
  </w:sdt>
  <w:p w:rsidR="00940FAF" w:rsidRPr="00940FAF" w:rsidRDefault="00940FA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FAF" w:rsidRPr="00940FAF" w:rsidRDefault="00940FAF">
    <w:pPr>
      <w:pStyle w:val="Header"/>
      <w:rPr>
        <w:rFonts w:ascii="Times New Roman" w:hAnsi="Times New Roman" w:cs="Times New Roman"/>
        <w:sz w:val="24"/>
        <w:szCs w:val="24"/>
      </w:rPr>
    </w:pPr>
    <w:r w:rsidRPr="00940FAF">
      <w:rPr>
        <w:rFonts w:ascii="Times New Roman" w:hAnsi="Times New Roman" w:cs="Times New Roman"/>
        <w:sz w:val="24"/>
        <w:szCs w:val="24"/>
      </w:rPr>
      <w:t xml:space="preserve">Running Head: COURT CASES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5BB"/>
    <w:rsid w:val="000005BB"/>
    <w:rsid w:val="000466D9"/>
    <w:rsid w:val="000A5599"/>
    <w:rsid w:val="000A621C"/>
    <w:rsid w:val="000F2C7B"/>
    <w:rsid w:val="0012529D"/>
    <w:rsid w:val="001278E9"/>
    <w:rsid w:val="0014616B"/>
    <w:rsid w:val="00176158"/>
    <w:rsid w:val="00197140"/>
    <w:rsid w:val="001F46F2"/>
    <w:rsid w:val="002173B8"/>
    <w:rsid w:val="002F7A46"/>
    <w:rsid w:val="003841F2"/>
    <w:rsid w:val="00400FC0"/>
    <w:rsid w:val="004303C8"/>
    <w:rsid w:val="00474ED3"/>
    <w:rsid w:val="004D29D4"/>
    <w:rsid w:val="00506F33"/>
    <w:rsid w:val="005442A2"/>
    <w:rsid w:val="00594B1D"/>
    <w:rsid w:val="005E25EE"/>
    <w:rsid w:val="005E36CF"/>
    <w:rsid w:val="005F27CB"/>
    <w:rsid w:val="006B399C"/>
    <w:rsid w:val="006E5DAF"/>
    <w:rsid w:val="007A5FCC"/>
    <w:rsid w:val="007A7683"/>
    <w:rsid w:val="007D019A"/>
    <w:rsid w:val="00807BC7"/>
    <w:rsid w:val="00830B7D"/>
    <w:rsid w:val="00833814"/>
    <w:rsid w:val="008540EC"/>
    <w:rsid w:val="008E1C1B"/>
    <w:rsid w:val="00911048"/>
    <w:rsid w:val="0091517F"/>
    <w:rsid w:val="00925FD6"/>
    <w:rsid w:val="00940FAF"/>
    <w:rsid w:val="00983E87"/>
    <w:rsid w:val="00987B12"/>
    <w:rsid w:val="009F367D"/>
    <w:rsid w:val="00AA312A"/>
    <w:rsid w:val="00B52011"/>
    <w:rsid w:val="00B81BDC"/>
    <w:rsid w:val="00BA30F8"/>
    <w:rsid w:val="00BC4D66"/>
    <w:rsid w:val="00BC7E4A"/>
    <w:rsid w:val="00BD1094"/>
    <w:rsid w:val="00C36B24"/>
    <w:rsid w:val="00CC0C4D"/>
    <w:rsid w:val="00CF4EC7"/>
    <w:rsid w:val="00D47A91"/>
    <w:rsid w:val="00DA2046"/>
    <w:rsid w:val="00DC2189"/>
    <w:rsid w:val="00DE3163"/>
    <w:rsid w:val="00DE4D23"/>
    <w:rsid w:val="00E71FBC"/>
    <w:rsid w:val="00E74026"/>
    <w:rsid w:val="00E84587"/>
    <w:rsid w:val="00EC3C2B"/>
    <w:rsid w:val="00F33E23"/>
    <w:rsid w:val="00F71BB3"/>
    <w:rsid w:val="00FA1D33"/>
    <w:rsid w:val="00FB7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1FF6FF-3239-4411-891C-0BC6E2691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FAF"/>
  </w:style>
  <w:style w:type="paragraph" w:styleId="Footer">
    <w:name w:val="footer"/>
    <w:basedOn w:val="Normal"/>
    <w:link w:val="FooterChar"/>
    <w:uiPriority w:val="99"/>
    <w:unhideWhenUsed/>
    <w:rsid w:val="00940F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FAF"/>
  </w:style>
  <w:style w:type="character" w:styleId="Hyperlink">
    <w:name w:val="Hyperlink"/>
    <w:basedOn w:val="DefaultParagraphFont"/>
    <w:uiPriority w:val="99"/>
    <w:unhideWhenUsed/>
    <w:rsid w:val="00C36B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lar.google.com/scholar_case?case=5442573158394732998&amp;hl=en&amp;as_sdt=6&amp;as_vis=1&amp;oi=scholar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1076</Words>
  <Characters>6135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Aury</dc:creator>
  <cp:keywords/>
  <dc:description/>
  <cp:lastModifiedBy>vinny</cp:lastModifiedBy>
  <cp:revision>2</cp:revision>
  <dcterms:created xsi:type="dcterms:W3CDTF">2018-11-27T19:31:00Z</dcterms:created>
  <dcterms:modified xsi:type="dcterms:W3CDTF">2018-11-27T19:31:00Z</dcterms:modified>
</cp:coreProperties>
</file>